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 xml:space="preserve">DECRETO N.º 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326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 xml:space="preserve">/20 DE 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02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 xml:space="preserve"> DE JU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L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HO DE 2020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Dispõe sobre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a prorrogação dos efeitos do Decreto Municipal n.º 322/20 de 16 de Junho de 2020 que dispõe sobre a regulamentação dos serviços e atividades, a partir de 16 de junho de 2020, em consonância com a fase classificatória do Município de Paulicéia no Plano São Paulo do Governo do Estado de São Paulo, condicionada à observância obrigatória das diretrizes sanitárias ligadas ao enfrentamento e prevenção da pandemia COVID-19 e dá outras providências.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Ficam prorrogados até 31 de Julho de 2020 os efeitos do Decreto Municipal n.º 322/20 de 16 de Junho de 2020, que d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ispõe sobre a regulamentação dos serviços e atividades, a partir de 16 de junho de 2020, em consonância com a fase classificatória do Município de Paulicéia no Plano São Paulo do Governo do Estado de São Paulo, condicionada à observância obrigatória das diretrizes sanitárias ligadas ao enfrentamento e prevenção da pandemia COVID-19 e dá outras providências.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2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Este Decreto entrará em vigor na data de sua publicação, retroagindo seus efeitos desde ao dia 1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º de Julho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de 2020, revogando-se as disposições em contrário.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>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46_2196299283"/>
    <w:bookmarkStart w:id="1" w:name="__DdeLink__351_2190365299"/>
    <w:bookmarkStart w:id="2" w:name="__DdeLink__212_1614387110"/>
    <w:bookmarkStart w:id="3" w:name="__DdeLink__682_2190365299"/>
    <w:bookmarkStart w:id="4" w:name="__DdeLink__195_744276595"/>
    <w:bookmarkStart w:id="5" w:name="__DdeLink__1110_1694329925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3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26</w:t>
    </w:r>
    <w:r>
      <w:rPr>
        <w:rFonts w:ascii="Arial" w:hAnsi="Arial"/>
        <w:b/>
        <w:bCs/>
        <w:sz w:val="24"/>
        <w:szCs w:val="24"/>
        <w:u w:val="single"/>
      </w:rPr>
      <w:t xml:space="preserve">/20 DE </w:t>
    </w:r>
    <w:bookmarkEnd w:id="0"/>
    <w:bookmarkEnd w:id="1"/>
    <w:bookmarkEnd w:id="2"/>
    <w:bookmarkEnd w:id="3"/>
    <w:bookmarkEnd w:id="4"/>
    <w:bookmarkEnd w:id="5"/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02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 xml:space="preserve"> DE JU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L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HO DE 2020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LibreOffice/6.4.0.3$Windows_X86_64 LibreOffice_project/b0a288ab3d2d4774cb44b62f04d5d28733ac6df8</Application>
  <Pages>2</Pages>
  <Words>297</Words>
  <Characters>1688</Characters>
  <CharactersWithSpaces>2039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2020-07-02T11:36:53Z</dcterms:modified>
  <cp:revision>92</cp:revision>
  <dc:subject/>
  <dc:title/>
</cp:coreProperties>
</file>