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 xml:space="preserve">DECRETO N.º 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403/20 DE 08 DE DEZEMBRO DE 2020</w:t>
      </w:r>
    </w:p>
    <w:p>
      <w:pPr>
        <w:pStyle w:val="Cabealho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Altera o Decreto Municipal n.º 342/20 de 04 de Agosto de 2020 que Regulamenta a modalidade de licitação denominada pregão na forma eletrônica – pregão eletrônico – para aquisição de bens e serviços.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DECRETA: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1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Os parágrafos 1º e 2º do Artigo 4º do Decreto Municipal n.º 342/20 de 04 de Agosto de 2020, passam a vigora com a seguinte redação:</w:t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none"/>
          <w:lang w:eastAsia="pt-BR"/>
        </w:rPr>
        <w:t>ARTIGO 4 º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 xml:space="preserve"> –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t-BR" w:eastAsia="pt-BR" w:bidi="hi-IN"/>
        </w:rPr>
        <w:t>[...]</w:t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u w:val="none"/>
          <w:lang w:eastAsia="pt-BR"/>
        </w:rPr>
        <w:t xml:space="preserve">§ 1º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 xml:space="preserve">–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t-BR" w:eastAsia="pt-BR" w:bidi="hi-IN"/>
        </w:rPr>
        <w:t>[...]</w:t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u w:val="none"/>
          <w:lang w:eastAsia="pt-BR"/>
        </w:rPr>
        <w:t>§ 2º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 xml:space="preserve"> – Os licitantes ou seus representantes legais deverão estar previamente credenciados junto ao provedor do sistema.</w:t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u w:val="none"/>
          <w:lang w:eastAsia="pt-BR"/>
        </w:rPr>
        <w:t>§ 3º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 xml:space="preserve"> – O credenciamento dar-se-á pela atribuição de chave de identificação e de senha pessoal intransferível, para acesso ao sistema eletrônico,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 xml:space="preserve">fornecida pela entidade pública promotora do pregão eletrônico, devendo o licitante ou seus representantes legais, solicitar, a chave de identificação, com antecedência máxima de 01 dia útil da data de realização do pregão eletrônico, sendo vedado o fornecimento de chave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t-BR" w:eastAsia="pt-BR" w:bidi="hi-IN"/>
        </w:rPr>
        <w:t>no dia da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 xml:space="preserve"> realização do pregão eletrônico.</w:t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u w:val="none"/>
          <w:lang w:eastAsia="pt-BR"/>
        </w:rPr>
        <w:t xml:space="preserve">§ 4º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 xml:space="preserve">–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pt-BR"/>
        </w:rPr>
        <w:t>[...]</w:t>
      </w:r>
    </w:p>
    <w:p>
      <w:pPr>
        <w:pStyle w:val="Normal"/>
        <w:spacing w:lineRule="auto" w:line="240"/>
        <w:ind w:left="2551" w:right="0" w:hanging="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none"/>
          <w:lang w:eastAsia="pt-BR"/>
        </w:rPr>
        <w:t xml:space="preserve">ARTIGO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none"/>
          <w:lang w:eastAsia="pt-BR"/>
        </w:rPr>
        <w:t>2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none"/>
          <w:lang w:eastAsia="pt-BR"/>
        </w:rPr>
        <w:t xml:space="preserve"> º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pt-BR" w:eastAsia="pt-BR" w:bidi="hi-IN"/>
        </w:rPr>
        <w:t xml:space="preserve">–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pt-BR" w:eastAsia="pt-BR" w:bidi="hi-IN"/>
        </w:rPr>
        <w:t> Este decreto entrará em vigor na data de sua publicação, revogadas as disposições em contrário.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Paulicéia, data supramencionada.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(Assinado Digitalmente)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ERMES DA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NSimSun" w:cs="Lucida Sans"/>
          <w:b/>
          <w:b/>
          <w:bCs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CHRISTIAN JOSÉ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Diretor Administrativo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b w:val="false"/>
        <w:b w:val="false"/>
        <w:bCs w:val="false"/>
        <w:sz w:val="12"/>
        <w:szCs w:val="12"/>
        <w:u w:val="none"/>
      </w:rPr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jc w:val="center"/>
      <w:rPr/>
    </w:pPr>
    <w:bookmarkStart w:id="0" w:name="__DdeLink__1110_1694329925"/>
    <w:bookmarkStart w:id="1" w:name="__DdeLink__195_744276595"/>
    <w:bookmarkStart w:id="2" w:name="__DdeLink__682_2190365299"/>
    <w:bookmarkStart w:id="3" w:name="__DdeLink__212_1614387110"/>
    <w:bookmarkStart w:id="4" w:name="__DdeLink__351_2190365299"/>
    <w:bookmarkStart w:id="5" w:name="__DdeLink__46_2196299283"/>
    <w:r>
      <w:rPr>
        <w:rFonts w:ascii="Arial" w:hAnsi="Arial"/>
        <w:b/>
        <w:bCs/>
        <w:sz w:val="24"/>
        <w:szCs w:val="24"/>
        <w:u w:val="single"/>
      </w:rPr>
      <w:t xml:space="preserve">DECRETO N.º </w:t>
    </w:r>
    <w:bookmarkEnd w:id="0"/>
    <w:bookmarkEnd w:id="1"/>
    <w:bookmarkEnd w:id="2"/>
    <w:bookmarkEnd w:id="3"/>
    <w:bookmarkEnd w:id="4"/>
    <w:bookmarkEnd w:id="5"/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403/20 DE 08 DE DEZEMBRO DE 2020</w:t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307</TotalTime>
  <Application>LibreOffice/6.4.0.3$Windows_X86_64 LibreOffice_project/b0a288ab3d2d4774cb44b62f04d5d28733ac6df8</Application>
  <Pages>2</Pages>
  <Words>285</Words>
  <Characters>1657</Characters>
  <CharactersWithSpaces>1999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2019-07-01T07:50:52Z</cp:lastPrinted>
  <dcterms:modified xsi:type="dcterms:W3CDTF">2020-12-08T08:56:37Z</dcterms:modified>
  <cp:revision>104</cp:revision>
  <dc:subject/>
  <dc:title/>
</cp:coreProperties>
</file>